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90" w:rsidRDefault="00164E6C">
      <w:pPr>
        <w:rPr>
          <w:b/>
          <w:u w:val="single"/>
        </w:rPr>
      </w:pPr>
      <w:r>
        <w:rPr>
          <w:b/>
          <w:u w:val="single"/>
        </w:rPr>
        <w:t>Rachunek bieżący</w:t>
      </w:r>
      <w:r w:rsidR="007D6713">
        <w:rPr>
          <w:b/>
          <w:u w:val="single"/>
        </w:rPr>
        <w:t xml:space="preserve"> i pomocniczy</w:t>
      </w:r>
      <w:r>
        <w:rPr>
          <w:b/>
          <w:u w:val="single"/>
        </w:rPr>
        <w:t>:</w:t>
      </w:r>
    </w:p>
    <w:p w:rsidR="006B4759" w:rsidRPr="006B4759" w:rsidRDefault="006B4759" w:rsidP="006B4759">
      <w:pPr>
        <w:spacing w:before="100" w:beforeAutospacing="1" w:after="100" w:afterAutospacing="1"/>
        <w:jc w:val="center"/>
        <w:rPr>
          <w:rFonts w:eastAsia="Times New Roman" w:cs="Arial"/>
          <w:lang w:eastAsia="pl-PL"/>
        </w:rPr>
      </w:pPr>
      <w:r w:rsidRPr="006B4759">
        <w:rPr>
          <w:rFonts w:eastAsia="Times New Roman" w:cs="Arial"/>
          <w:b/>
          <w:bCs/>
          <w:lang w:eastAsia="pl-PL"/>
        </w:rPr>
        <w:t xml:space="preserve">Rachunek przeznaczony jest dla: </w:t>
      </w:r>
    </w:p>
    <w:p w:rsidR="006B4759" w:rsidRPr="006B4759" w:rsidRDefault="006B4759" w:rsidP="006B475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Arial"/>
          <w:lang w:eastAsia="pl-PL"/>
        </w:rPr>
      </w:pPr>
      <w:r w:rsidRPr="006B4759">
        <w:rPr>
          <w:rFonts w:eastAsia="Times New Roman" w:cs="Arial"/>
          <w:lang w:eastAsia="pl-PL"/>
        </w:rPr>
        <w:t>osób fizycznych prowadzących działalność gospodarczą</w:t>
      </w:r>
    </w:p>
    <w:p w:rsidR="006B4759" w:rsidRPr="006B4759" w:rsidRDefault="006B4759" w:rsidP="006B475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Arial"/>
          <w:lang w:eastAsia="pl-PL"/>
        </w:rPr>
      </w:pPr>
      <w:r w:rsidRPr="006B4759">
        <w:rPr>
          <w:rFonts w:eastAsia="Times New Roman" w:cs="Arial"/>
          <w:lang w:eastAsia="pl-PL"/>
        </w:rPr>
        <w:t>osób prawnych</w:t>
      </w:r>
    </w:p>
    <w:p w:rsidR="006B4759" w:rsidRPr="006B4759" w:rsidRDefault="006B4759" w:rsidP="006B475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Arial"/>
          <w:lang w:eastAsia="pl-PL"/>
        </w:rPr>
      </w:pPr>
      <w:r w:rsidRPr="006B4759">
        <w:rPr>
          <w:rFonts w:eastAsia="Times New Roman" w:cs="Arial"/>
          <w:lang w:eastAsia="pl-PL"/>
        </w:rPr>
        <w:t>jednostek organizacyjnych nieposiadających osobowości prawnej, o ile posiadają zdolność prawną.</w:t>
      </w:r>
    </w:p>
    <w:p w:rsidR="001262F4" w:rsidRPr="001262F4" w:rsidRDefault="001262F4" w:rsidP="001262F4">
      <w:pPr>
        <w:rPr>
          <w:rFonts w:eastAsia="Times New Roman" w:cs="Arial"/>
          <w:sz w:val="24"/>
          <w:szCs w:val="24"/>
          <w:lang w:eastAsia="pl-PL"/>
        </w:rPr>
      </w:pPr>
    </w:p>
    <w:p w:rsidR="001262F4" w:rsidRPr="001262F4" w:rsidRDefault="001262F4" w:rsidP="001262F4">
      <w:pPr>
        <w:jc w:val="center"/>
        <w:rPr>
          <w:rFonts w:eastAsia="Times New Roman" w:cs="Arial"/>
          <w:sz w:val="24"/>
          <w:szCs w:val="24"/>
          <w:lang w:eastAsia="pl-PL"/>
        </w:rPr>
      </w:pPr>
      <w:r w:rsidRPr="001262F4">
        <w:rPr>
          <w:rFonts w:eastAsia="Times New Roman" w:cs="Arial"/>
          <w:b/>
          <w:bCs/>
          <w:sz w:val="24"/>
          <w:szCs w:val="24"/>
          <w:lang w:eastAsia="pl-PL"/>
        </w:rPr>
        <w:t xml:space="preserve">Zalety posiadania rachunku dla podmiotów instytucjonalnych: </w:t>
      </w:r>
    </w:p>
    <w:p w:rsidR="00FF48E0" w:rsidRDefault="00AE0483" w:rsidP="00AE048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niskie koszty obsługi rachunku,</w:t>
      </w:r>
    </w:p>
    <w:p w:rsidR="00FF48E0" w:rsidRPr="00AE0483" w:rsidRDefault="00FF48E0" w:rsidP="00AE048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Arial"/>
          <w:lang w:eastAsia="pl-PL"/>
        </w:rPr>
      </w:pPr>
      <w:r w:rsidRPr="00FF48E0">
        <w:rPr>
          <w:rFonts w:eastAsia="Times New Roman" w:cs="Arial"/>
          <w:lang w:eastAsia="pl-PL"/>
        </w:rPr>
        <w:t>prowadzenie rozliczeń krajowych i zagranicznych</w:t>
      </w:r>
      <w:r w:rsidR="00AE0483">
        <w:rPr>
          <w:rFonts w:eastAsia="Times New Roman" w:cs="Arial"/>
          <w:lang w:eastAsia="pl-PL"/>
        </w:rPr>
        <w:t>,</w:t>
      </w:r>
    </w:p>
    <w:p w:rsidR="00FF48E0" w:rsidRPr="00AE0483" w:rsidRDefault="00FF48E0" w:rsidP="00AE048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Arial"/>
          <w:lang w:eastAsia="pl-PL"/>
        </w:rPr>
      </w:pPr>
      <w:r w:rsidRPr="00FF48E0">
        <w:rPr>
          <w:rFonts w:eastAsia="Times New Roman" w:cs="Arial"/>
          <w:lang w:eastAsia="pl-PL"/>
        </w:rPr>
        <w:t>regulowanie płatności za pomocą stałego zlecenia lub polecenia zapłaty</w:t>
      </w:r>
      <w:r w:rsidR="00AE0483">
        <w:rPr>
          <w:rFonts w:eastAsia="Times New Roman" w:cs="Arial"/>
          <w:lang w:eastAsia="pl-PL"/>
        </w:rPr>
        <w:t>,</w:t>
      </w:r>
    </w:p>
    <w:p w:rsidR="00FF48E0" w:rsidRPr="00FF48E0" w:rsidRDefault="00FF48E0" w:rsidP="00AE048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Arial"/>
          <w:lang w:eastAsia="pl-PL"/>
        </w:rPr>
      </w:pPr>
      <w:r w:rsidRPr="00FF48E0">
        <w:rPr>
          <w:rFonts w:eastAsia="Times New Roman" w:cs="Arial"/>
          <w:lang w:eastAsia="pl-PL"/>
        </w:rPr>
        <w:t>lokowanie nadwyżek finansowych na korzystnie oprocentowanych lokatach terminowych</w:t>
      </w:r>
      <w:r w:rsidR="00BA59F7">
        <w:rPr>
          <w:rFonts w:eastAsia="Times New Roman" w:cs="Arial"/>
          <w:lang w:eastAsia="pl-PL"/>
        </w:rPr>
        <w:t>,</w:t>
      </w:r>
    </w:p>
    <w:p w:rsidR="00AE0483" w:rsidRPr="00AE0483" w:rsidRDefault="00FF48E0" w:rsidP="00AE048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Arial"/>
          <w:lang w:eastAsia="pl-PL"/>
        </w:rPr>
      </w:pPr>
      <w:r w:rsidRPr="00AE0483">
        <w:rPr>
          <w:rFonts w:eastAsia="Times New Roman" w:cs="Arial"/>
          <w:lang w:eastAsia="pl-PL"/>
        </w:rPr>
        <w:t>prowadzenie rachunku</w:t>
      </w:r>
      <w:r w:rsidR="00936140">
        <w:rPr>
          <w:rFonts w:eastAsia="Times New Roman" w:cs="Arial"/>
          <w:lang w:eastAsia="pl-PL"/>
        </w:rPr>
        <w:t xml:space="preserve"> w złotówkach oraz </w:t>
      </w:r>
      <w:r w:rsidRPr="00AE0483">
        <w:rPr>
          <w:rFonts w:eastAsia="Times New Roman" w:cs="Arial"/>
          <w:lang w:eastAsia="pl-PL"/>
        </w:rPr>
        <w:t>w walutach wymienialnych - USD, EUR, GBP - oraz rachunków pomocniczych</w:t>
      </w:r>
      <w:r w:rsidR="00BA59F7">
        <w:rPr>
          <w:rFonts w:eastAsia="Times New Roman" w:cs="Arial"/>
          <w:lang w:eastAsia="pl-PL"/>
        </w:rPr>
        <w:t>,</w:t>
      </w:r>
    </w:p>
    <w:p w:rsidR="005670D6" w:rsidRPr="00CA2DAE" w:rsidRDefault="005670D6" w:rsidP="00FF48E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sz w:val="24"/>
          <w:szCs w:val="24"/>
          <w:lang w:eastAsia="pl-PL"/>
        </w:rPr>
      </w:pPr>
      <w:r>
        <w:t>środki zgromadzon</w:t>
      </w:r>
      <w:r w:rsidR="00A959FE">
        <w:t>e na rachunku dostępne</w:t>
      </w:r>
      <w:r>
        <w:t xml:space="preserve"> każde żądanie</w:t>
      </w:r>
      <w:r w:rsidR="00BA59F7">
        <w:t>,</w:t>
      </w:r>
    </w:p>
    <w:p w:rsidR="00CA2DAE" w:rsidRPr="001262F4" w:rsidRDefault="00FF48E0" w:rsidP="001262F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możliwość</w:t>
      </w:r>
      <w:r w:rsidR="00CA2DAE" w:rsidRPr="0089724C">
        <w:rPr>
          <w:rFonts w:eastAsia="Times New Roman" w:cs="Arial"/>
          <w:sz w:val="24"/>
          <w:szCs w:val="24"/>
          <w:lang w:eastAsia="pl-PL"/>
        </w:rPr>
        <w:t xml:space="preserve"> dokonywani</w:t>
      </w:r>
      <w:r>
        <w:rPr>
          <w:rFonts w:eastAsia="Times New Roman" w:cs="Arial"/>
          <w:sz w:val="24"/>
          <w:szCs w:val="24"/>
          <w:lang w:eastAsia="pl-PL"/>
        </w:rPr>
        <w:t>a</w:t>
      </w:r>
      <w:r w:rsidR="00CA2DAE" w:rsidRPr="0089724C">
        <w:rPr>
          <w:rFonts w:eastAsia="Times New Roman" w:cs="Arial"/>
          <w:sz w:val="24"/>
          <w:szCs w:val="24"/>
          <w:lang w:eastAsia="pl-PL"/>
        </w:rPr>
        <w:t xml:space="preserve"> BEZPŁATNYCH transakcji bezgotówkowych</w:t>
      </w:r>
      <w:r w:rsidR="00CA2DAE" w:rsidRPr="0089724C">
        <w:rPr>
          <w:rFonts w:cs="Arial"/>
          <w:sz w:val="24"/>
          <w:szCs w:val="24"/>
        </w:rPr>
        <w:t xml:space="preserve"> kart</w:t>
      </w:r>
      <w:r w:rsidR="0039712B">
        <w:rPr>
          <w:rFonts w:cs="Arial"/>
          <w:sz w:val="24"/>
          <w:szCs w:val="24"/>
        </w:rPr>
        <w:t>ą</w:t>
      </w:r>
      <w:r w:rsidR="00CA2DAE" w:rsidRPr="0089724C">
        <w:rPr>
          <w:rFonts w:cs="Arial"/>
          <w:sz w:val="24"/>
          <w:szCs w:val="24"/>
        </w:rPr>
        <w:t xml:space="preserve"> VISA BUSINESS</w:t>
      </w:r>
      <w:r w:rsidR="0039712B">
        <w:rPr>
          <w:rFonts w:cs="Arial"/>
          <w:sz w:val="24"/>
          <w:szCs w:val="24"/>
        </w:rPr>
        <w:t xml:space="preserve"> DEBETOWĄ</w:t>
      </w:r>
    </w:p>
    <w:p w:rsidR="006401C3" w:rsidRPr="006401C3" w:rsidRDefault="001262F4" w:rsidP="001262F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Arial"/>
          <w:sz w:val="24"/>
          <w:szCs w:val="24"/>
          <w:lang w:eastAsia="pl-PL"/>
        </w:rPr>
      </w:pPr>
      <w:r w:rsidRPr="001262F4">
        <w:rPr>
          <w:rFonts w:eastAsia="Times New Roman" w:cs="Arial"/>
          <w:sz w:val="24"/>
          <w:szCs w:val="24"/>
          <w:lang w:eastAsia="pl-PL"/>
        </w:rPr>
        <w:t xml:space="preserve">dostęp do rachunku przez system bankowości elektronicznej - Home Banking, </w:t>
      </w:r>
      <w:r w:rsidR="006401C3">
        <w:t>Internetowy Rachunek Korporacyjny</w:t>
      </w:r>
    </w:p>
    <w:p w:rsidR="001262F4" w:rsidRDefault="001262F4" w:rsidP="001262F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Arial"/>
          <w:sz w:val="24"/>
          <w:szCs w:val="24"/>
          <w:lang w:eastAsia="pl-PL"/>
        </w:rPr>
      </w:pPr>
      <w:r w:rsidRPr="001262F4">
        <w:rPr>
          <w:rFonts w:eastAsia="Times New Roman" w:cs="Arial"/>
          <w:sz w:val="24"/>
          <w:szCs w:val="24"/>
          <w:lang w:eastAsia="pl-PL"/>
        </w:rPr>
        <w:t>możliwość korzystania z produktów kredytowych: kredytu w rachunku bieżącym i w rachunku kredytowym oraz gwarancji</w:t>
      </w:r>
    </w:p>
    <w:p w:rsidR="00986499" w:rsidRPr="00365E51" w:rsidRDefault="000C1BE6" w:rsidP="00986499">
      <w:pPr>
        <w:spacing w:before="100" w:beforeAutospacing="1" w:after="100" w:afterAutospacing="1"/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365E51">
        <w:rPr>
          <w:rFonts w:eastAsia="Times New Roman" w:cs="Arial"/>
          <w:b/>
          <w:sz w:val="24"/>
          <w:szCs w:val="24"/>
          <w:u w:val="single"/>
          <w:lang w:eastAsia="pl-PL"/>
        </w:rPr>
        <w:t>KREDYTY:</w:t>
      </w:r>
    </w:p>
    <w:p w:rsidR="004F2243" w:rsidRPr="00555BEA" w:rsidRDefault="004F2243" w:rsidP="004F2243">
      <w:pPr>
        <w:pStyle w:val="Tekstpodstawowy21"/>
        <w:numPr>
          <w:ilvl w:val="0"/>
          <w:numId w:val="8"/>
        </w:numPr>
        <w:tabs>
          <w:tab w:val="clear" w:pos="142"/>
          <w:tab w:val="left" w:pos="-142"/>
        </w:tabs>
        <w:spacing w:before="60"/>
        <w:rPr>
          <w:rFonts w:ascii="Arial" w:hAnsi="Arial" w:cs="Arial"/>
          <w:b/>
          <w:bCs/>
          <w:sz w:val="22"/>
          <w:szCs w:val="22"/>
        </w:rPr>
      </w:pPr>
      <w:r w:rsidRPr="00555BEA">
        <w:rPr>
          <w:rFonts w:ascii="Arial" w:hAnsi="Arial" w:cs="Arial"/>
          <w:b/>
          <w:bCs/>
          <w:sz w:val="22"/>
          <w:szCs w:val="22"/>
        </w:rPr>
        <w:t>Kredyty w rachunkach bieżących</w:t>
      </w:r>
    </w:p>
    <w:p w:rsidR="004F2243" w:rsidRPr="00555BEA" w:rsidRDefault="004F2243" w:rsidP="004F2243">
      <w:pPr>
        <w:pStyle w:val="Tekstpodstawowy21"/>
        <w:tabs>
          <w:tab w:val="clear" w:pos="142"/>
          <w:tab w:val="left" w:pos="-142"/>
        </w:tabs>
        <w:spacing w:before="60"/>
        <w:ind w:left="0" w:firstLine="0"/>
        <w:rPr>
          <w:rFonts w:ascii="Arial" w:hAnsi="Arial" w:cs="Arial"/>
          <w:sz w:val="22"/>
          <w:szCs w:val="22"/>
        </w:rPr>
      </w:pPr>
    </w:p>
    <w:p w:rsidR="004F2243" w:rsidRPr="00555BEA" w:rsidRDefault="004F2243" w:rsidP="00404CF1">
      <w:pPr>
        <w:pStyle w:val="Tekstpodstawowy21"/>
        <w:tabs>
          <w:tab w:val="clear" w:pos="142"/>
        </w:tabs>
        <w:spacing w:before="60"/>
        <w:ind w:left="2832" w:hanging="2832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b/>
          <w:bCs/>
          <w:sz w:val="22"/>
          <w:szCs w:val="22"/>
        </w:rPr>
        <w:t>Przeznaczenie kredytu -</w:t>
      </w:r>
      <w:r w:rsidRPr="00555BEA">
        <w:rPr>
          <w:rFonts w:ascii="Arial" w:hAnsi="Arial" w:cs="Arial"/>
          <w:sz w:val="22"/>
          <w:szCs w:val="22"/>
        </w:rPr>
        <w:t xml:space="preserve"> pokrycie bieżących zobowiązań kredytobiorcy związanych </w:t>
      </w:r>
      <w:r w:rsidR="00404CF1">
        <w:rPr>
          <w:rFonts w:ascii="Arial" w:hAnsi="Arial" w:cs="Arial"/>
          <w:sz w:val="22"/>
          <w:szCs w:val="22"/>
        </w:rPr>
        <w:br/>
        <w:t xml:space="preserve">z </w:t>
      </w:r>
      <w:r w:rsidRPr="00555BEA">
        <w:rPr>
          <w:rFonts w:ascii="Arial" w:hAnsi="Arial" w:cs="Arial"/>
          <w:sz w:val="22"/>
          <w:szCs w:val="22"/>
        </w:rPr>
        <w:t>prowadzoną działalnością gospodarczą</w:t>
      </w:r>
    </w:p>
    <w:p w:rsidR="00204679" w:rsidRDefault="004F2243" w:rsidP="00204679">
      <w:pPr>
        <w:pStyle w:val="Tekstpodstawowy"/>
        <w:spacing w:before="60" w:after="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b/>
          <w:bCs/>
          <w:sz w:val="22"/>
          <w:szCs w:val="22"/>
        </w:rPr>
        <w:t xml:space="preserve">Wysokość kredytu - </w:t>
      </w:r>
      <w:r w:rsidRPr="00555BEA">
        <w:rPr>
          <w:rFonts w:ascii="Arial" w:hAnsi="Arial" w:cs="Arial"/>
          <w:sz w:val="22"/>
          <w:szCs w:val="22"/>
        </w:rPr>
        <w:t>do dwukrotnych średnich miesięcznych wpływów na rachunek bieżący</w:t>
      </w:r>
      <w:r w:rsidR="00404CF1">
        <w:rPr>
          <w:rFonts w:ascii="Arial" w:hAnsi="Arial" w:cs="Arial"/>
          <w:sz w:val="22"/>
          <w:szCs w:val="22"/>
        </w:rPr>
        <w:t xml:space="preserve"> </w:t>
      </w:r>
      <w:r w:rsidR="00204679">
        <w:rPr>
          <w:rFonts w:ascii="Arial" w:hAnsi="Arial" w:cs="Arial"/>
          <w:sz w:val="22"/>
          <w:szCs w:val="22"/>
        </w:rPr>
        <w:t>z ostatnich 6 miesięcy</w:t>
      </w:r>
    </w:p>
    <w:p w:rsidR="004F2243" w:rsidRPr="00555BEA" w:rsidRDefault="004F2243" w:rsidP="00204679">
      <w:pPr>
        <w:pStyle w:val="Tekstpodstawowy"/>
        <w:spacing w:before="60" w:after="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b/>
          <w:bCs/>
          <w:sz w:val="22"/>
          <w:szCs w:val="22"/>
        </w:rPr>
        <w:t>Okres kredytowania –</w:t>
      </w:r>
      <w:r w:rsidRPr="00555BEA">
        <w:rPr>
          <w:rFonts w:ascii="Arial" w:hAnsi="Arial" w:cs="Arial"/>
          <w:sz w:val="22"/>
          <w:szCs w:val="22"/>
        </w:rPr>
        <w:t xml:space="preserve"> do 12 miesięcy. </w:t>
      </w:r>
    </w:p>
    <w:p w:rsidR="0076571E" w:rsidRDefault="0076571E" w:rsidP="004F2243">
      <w:pPr>
        <w:pStyle w:val="Tekstpodstawowy"/>
        <w:tabs>
          <w:tab w:val="left" w:pos="567"/>
        </w:tabs>
        <w:spacing w:before="60" w:after="0"/>
        <w:jc w:val="both"/>
        <w:rPr>
          <w:rFonts w:ascii="Arial" w:hAnsi="Arial" w:cs="Arial"/>
          <w:b/>
          <w:sz w:val="22"/>
          <w:szCs w:val="22"/>
        </w:rPr>
      </w:pPr>
    </w:p>
    <w:p w:rsidR="004F2243" w:rsidRPr="0076571E" w:rsidRDefault="0076571E" w:rsidP="004F2243">
      <w:pPr>
        <w:pStyle w:val="Tekstpodstawowy"/>
        <w:tabs>
          <w:tab w:val="left" w:pos="567"/>
        </w:tabs>
        <w:spacing w:before="60" w:after="0"/>
        <w:jc w:val="both"/>
        <w:rPr>
          <w:rFonts w:ascii="Arial" w:hAnsi="Arial" w:cs="Arial"/>
          <w:b/>
          <w:sz w:val="22"/>
          <w:szCs w:val="22"/>
        </w:rPr>
      </w:pPr>
      <w:r w:rsidRPr="0076571E">
        <w:rPr>
          <w:rFonts w:ascii="Arial" w:hAnsi="Arial" w:cs="Arial"/>
          <w:b/>
          <w:sz w:val="22"/>
          <w:szCs w:val="22"/>
        </w:rPr>
        <w:t>Zalety</w:t>
      </w:r>
      <w:r>
        <w:rPr>
          <w:rFonts w:ascii="Arial" w:hAnsi="Arial" w:cs="Arial"/>
          <w:b/>
          <w:sz w:val="22"/>
          <w:szCs w:val="22"/>
        </w:rPr>
        <w:t xml:space="preserve"> produktu:</w:t>
      </w:r>
    </w:p>
    <w:p w:rsidR="004F2243" w:rsidRPr="00555BEA" w:rsidRDefault="004F2243" w:rsidP="004F2243">
      <w:pPr>
        <w:pStyle w:val="Tekstpodstawowy"/>
        <w:tabs>
          <w:tab w:val="left" w:pos="567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sz w:val="22"/>
          <w:szCs w:val="22"/>
        </w:rPr>
        <w:t xml:space="preserve">Możliwość odnowienia kredytu na kolejne dwunastomiesięczne </w:t>
      </w:r>
      <w:r>
        <w:rPr>
          <w:rFonts w:ascii="Arial" w:hAnsi="Arial" w:cs="Arial"/>
          <w:sz w:val="22"/>
          <w:szCs w:val="22"/>
        </w:rPr>
        <w:t>okresy, bez konieczności spłaty zadłużenia</w:t>
      </w:r>
    </w:p>
    <w:p w:rsidR="004F2243" w:rsidRPr="00555BEA" w:rsidRDefault="004F2243" w:rsidP="004F2243">
      <w:pPr>
        <w:pStyle w:val="Tekstpodstawowy21"/>
        <w:tabs>
          <w:tab w:val="clear" w:pos="142"/>
          <w:tab w:val="left" w:pos="-142"/>
        </w:tabs>
        <w:spacing w:before="60"/>
        <w:ind w:left="0" w:firstLine="0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sz w:val="22"/>
          <w:szCs w:val="22"/>
        </w:rPr>
        <w:t xml:space="preserve">Każda spłata całości lub części kredytu powoduje, iż kredyt odnawia się i może być wykorzystywany wielokrotnie w ramach ustalonej kwoty limitu </w:t>
      </w:r>
    </w:p>
    <w:p w:rsidR="004F2243" w:rsidRPr="00555BEA" w:rsidRDefault="004F2243" w:rsidP="004F2243">
      <w:pPr>
        <w:pStyle w:val="Tekstpodstawowy"/>
        <w:tabs>
          <w:tab w:val="left" w:pos="-280"/>
          <w:tab w:val="left" w:pos="-40"/>
        </w:tabs>
        <w:spacing w:before="60" w:after="0"/>
        <w:jc w:val="both"/>
        <w:rPr>
          <w:rFonts w:ascii="Arial" w:hAnsi="Arial" w:cs="Arial"/>
          <w:sz w:val="22"/>
          <w:szCs w:val="22"/>
        </w:rPr>
      </w:pPr>
    </w:p>
    <w:p w:rsidR="004F2243" w:rsidRDefault="004F2243" w:rsidP="0076571E">
      <w:pPr>
        <w:pStyle w:val="Tekstpodstawowy"/>
        <w:numPr>
          <w:ilvl w:val="0"/>
          <w:numId w:val="8"/>
        </w:numPr>
        <w:spacing w:before="6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555BEA">
        <w:rPr>
          <w:rFonts w:ascii="Arial" w:hAnsi="Arial" w:cs="Arial"/>
          <w:b/>
          <w:bCs/>
          <w:sz w:val="22"/>
          <w:szCs w:val="22"/>
        </w:rPr>
        <w:t>Kredyty obrotowe</w:t>
      </w:r>
    </w:p>
    <w:p w:rsidR="0076571E" w:rsidRPr="00555BEA" w:rsidRDefault="0076571E" w:rsidP="0076571E">
      <w:pPr>
        <w:pStyle w:val="Tekstpodstawowy"/>
        <w:tabs>
          <w:tab w:val="left" w:pos="-280"/>
          <w:tab w:val="left" w:pos="-40"/>
        </w:tabs>
        <w:spacing w:before="60" w:after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4F2243" w:rsidRPr="00555BEA" w:rsidRDefault="004F2243" w:rsidP="0076571E">
      <w:pPr>
        <w:pStyle w:val="Tekstpodstawowy"/>
        <w:spacing w:before="60" w:after="0"/>
        <w:jc w:val="both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b/>
          <w:bCs/>
          <w:sz w:val="22"/>
          <w:szCs w:val="22"/>
        </w:rPr>
        <w:t xml:space="preserve">Przeznaczenie kredytu – </w:t>
      </w:r>
      <w:r w:rsidRPr="00555BEA">
        <w:rPr>
          <w:rFonts w:ascii="Arial" w:hAnsi="Arial" w:cs="Arial"/>
          <w:sz w:val="22"/>
          <w:szCs w:val="22"/>
        </w:rPr>
        <w:t>finansowanie bieżących potrzeb związanych z działalnością gospodarczą</w:t>
      </w:r>
    </w:p>
    <w:p w:rsidR="004F2243" w:rsidRPr="00555BEA" w:rsidRDefault="004F2243" w:rsidP="0076571E">
      <w:pPr>
        <w:pStyle w:val="Tekstpodstawowy"/>
        <w:spacing w:before="60" w:after="0"/>
        <w:jc w:val="both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b/>
          <w:bCs/>
          <w:sz w:val="22"/>
          <w:szCs w:val="22"/>
        </w:rPr>
        <w:t xml:space="preserve">Okres kredytowania </w:t>
      </w:r>
      <w:r w:rsidRPr="00555BEA">
        <w:rPr>
          <w:rFonts w:ascii="Arial" w:hAnsi="Arial" w:cs="Arial"/>
          <w:sz w:val="22"/>
          <w:szCs w:val="22"/>
        </w:rPr>
        <w:t>– do 3 lat</w:t>
      </w:r>
    </w:p>
    <w:p w:rsidR="00947BB9" w:rsidRDefault="00947BB9" w:rsidP="004F2243">
      <w:pPr>
        <w:pStyle w:val="Tekstpodstawowy"/>
        <w:tabs>
          <w:tab w:val="left" w:pos="-280"/>
          <w:tab w:val="left" w:pos="-40"/>
        </w:tabs>
        <w:spacing w:before="60" w:after="0"/>
        <w:jc w:val="both"/>
        <w:rPr>
          <w:rFonts w:ascii="Arial" w:hAnsi="Arial" w:cs="Arial"/>
          <w:b/>
          <w:sz w:val="22"/>
          <w:szCs w:val="22"/>
        </w:rPr>
      </w:pPr>
    </w:p>
    <w:p w:rsidR="004F2243" w:rsidRPr="00947BB9" w:rsidRDefault="00947BB9" w:rsidP="004F2243">
      <w:pPr>
        <w:pStyle w:val="Tekstpodstawowy"/>
        <w:tabs>
          <w:tab w:val="left" w:pos="-280"/>
          <w:tab w:val="left" w:pos="-40"/>
        </w:tabs>
        <w:spacing w:before="6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Zalety produktu:</w:t>
      </w:r>
    </w:p>
    <w:p w:rsidR="004F2243" w:rsidRPr="00555BEA" w:rsidRDefault="004F2243" w:rsidP="004F2243">
      <w:pPr>
        <w:pStyle w:val="Tekstpodstawowy"/>
        <w:tabs>
          <w:tab w:val="left" w:pos="-280"/>
          <w:tab w:val="left" w:pos="-4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sz w:val="22"/>
          <w:szCs w:val="22"/>
        </w:rPr>
        <w:lastRenderedPageBreak/>
        <w:t xml:space="preserve">Szybka i sprawna procedura uzyskania kredytu </w:t>
      </w:r>
    </w:p>
    <w:p w:rsidR="00947BB9" w:rsidRDefault="00947BB9" w:rsidP="004F2243">
      <w:pPr>
        <w:tabs>
          <w:tab w:val="left" w:pos="284"/>
        </w:tabs>
        <w:spacing w:before="60"/>
        <w:ind w:firstLine="788"/>
        <w:jc w:val="both"/>
        <w:rPr>
          <w:rFonts w:cs="Arial"/>
          <w:b/>
          <w:bCs/>
        </w:rPr>
      </w:pPr>
    </w:p>
    <w:p w:rsidR="004F2243" w:rsidRPr="00555BEA" w:rsidRDefault="004F2243" w:rsidP="00947BB9">
      <w:pPr>
        <w:numPr>
          <w:ilvl w:val="0"/>
          <w:numId w:val="8"/>
        </w:numPr>
        <w:spacing w:before="60"/>
        <w:jc w:val="both"/>
        <w:rPr>
          <w:rFonts w:cs="Arial"/>
          <w:b/>
          <w:bCs/>
        </w:rPr>
      </w:pPr>
      <w:r w:rsidRPr="00555BEA">
        <w:rPr>
          <w:rFonts w:cs="Arial"/>
          <w:b/>
          <w:bCs/>
        </w:rPr>
        <w:t xml:space="preserve">Kredyty inwestycyjne </w:t>
      </w:r>
    </w:p>
    <w:p w:rsidR="004F2243" w:rsidRPr="00555BEA" w:rsidRDefault="004F2243" w:rsidP="004F2243">
      <w:pPr>
        <w:tabs>
          <w:tab w:val="left" w:pos="284"/>
        </w:tabs>
        <w:spacing w:before="60"/>
        <w:ind w:firstLine="788"/>
        <w:jc w:val="both"/>
        <w:rPr>
          <w:rFonts w:cs="Arial"/>
          <w:b/>
          <w:bCs/>
        </w:rPr>
      </w:pPr>
    </w:p>
    <w:p w:rsidR="004F2243" w:rsidRPr="00555BEA" w:rsidRDefault="004F2243" w:rsidP="00947BB9">
      <w:pPr>
        <w:spacing w:before="60"/>
        <w:ind w:left="2832" w:hanging="2832"/>
        <w:jc w:val="both"/>
        <w:rPr>
          <w:rFonts w:cs="Arial"/>
        </w:rPr>
      </w:pPr>
      <w:r w:rsidRPr="00555BEA">
        <w:rPr>
          <w:rFonts w:cs="Arial"/>
          <w:b/>
          <w:bCs/>
        </w:rPr>
        <w:t>Przeznaczenie kredytu –</w:t>
      </w:r>
      <w:r w:rsidRPr="00555BEA">
        <w:rPr>
          <w:rFonts w:cs="Arial"/>
        </w:rPr>
        <w:t xml:space="preserve"> finansowanie</w:t>
      </w:r>
      <w:r>
        <w:rPr>
          <w:rFonts w:cs="Arial"/>
        </w:rPr>
        <w:t xml:space="preserve"> projektów inwestycyjnych mających na celu stworzenie </w:t>
      </w:r>
      <w:r w:rsidRPr="00555BEA">
        <w:rPr>
          <w:rFonts w:cs="Arial"/>
        </w:rPr>
        <w:t>nowego lub zwiększenie istnie</w:t>
      </w:r>
      <w:r>
        <w:rPr>
          <w:rFonts w:cs="Arial"/>
        </w:rPr>
        <w:t xml:space="preserve">jącego majątku Kredytobiorcy, a </w:t>
      </w:r>
      <w:r w:rsidRPr="00555BEA">
        <w:rPr>
          <w:rFonts w:cs="Arial"/>
        </w:rPr>
        <w:t>w</w:t>
      </w:r>
      <w:r>
        <w:rPr>
          <w:rFonts w:cs="Arial"/>
        </w:rPr>
        <w:t xml:space="preserve"> </w:t>
      </w:r>
      <w:r w:rsidRPr="00555BEA">
        <w:rPr>
          <w:rFonts w:cs="Arial"/>
        </w:rPr>
        <w:t xml:space="preserve">szczególności przedsięwzięć polegających na zakupie maszyn, urządzeń, środków transportu, nieruchomości, budowie lub modernizacji majątku produkcyjnego, </w:t>
      </w:r>
    </w:p>
    <w:p w:rsidR="004F2243" w:rsidRPr="00555BEA" w:rsidRDefault="004F2243" w:rsidP="004F2243">
      <w:pPr>
        <w:tabs>
          <w:tab w:val="left" w:pos="284"/>
        </w:tabs>
        <w:spacing w:before="60"/>
        <w:ind w:firstLine="788"/>
        <w:jc w:val="both"/>
        <w:rPr>
          <w:rFonts w:cs="Arial"/>
        </w:rPr>
      </w:pPr>
    </w:p>
    <w:p w:rsidR="004F2243" w:rsidRPr="00555BEA" w:rsidRDefault="00631F3C" w:rsidP="00631F3C">
      <w:pPr>
        <w:spacing w:before="60"/>
        <w:jc w:val="both"/>
        <w:rPr>
          <w:rFonts w:cs="Arial"/>
        </w:rPr>
      </w:pPr>
      <w:r w:rsidRPr="00555BEA">
        <w:rPr>
          <w:rFonts w:cs="Arial"/>
          <w:b/>
          <w:bCs/>
        </w:rPr>
        <w:t xml:space="preserve">Wysokość kredytu - </w:t>
      </w:r>
      <w:r w:rsidR="004F2243" w:rsidRPr="00555BEA">
        <w:rPr>
          <w:rFonts w:cs="Arial"/>
        </w:rPr>
        <w:t>do 80 % kosztów inwestycji.</w:t>
      </w:r>
    </w:p>
    <w:p w:rsidR="004F2243" w:rsidRPr="00555BEA" w:rsidRDefault="004F2243" w:rsidP="00631F3C">
      <w:pPr>
        <w:pStyle w:val="Tekstpodstawowy"/>
        <w:tabs>
          <w:tab w:val="left" w:pos="2104"/>
        </w:tabs>
        <w:ind w:hanging="284"/>
        <w:jc w:val="both"/>
        <w:rPr>
          <w:rFonts w:ascii="Arial" w:hAnsi="Arial" w:cs="Arial"/>
          <w:sz w:val="22"/>
          <w:szCs w:val="22"/>
        </w:rPr>
      </w:pPr>
    </w:p>
    <w:p w:rsidR="004F2243" w:rsidRPr="00555BEA" w:rsidRDefault="004F2243" w:rsidP="00196106">
      <w:pPr>
        <w:pStyle w:val="Tekstpodstawowy"/>
        <w:ind w:left="1843" w:hanging="1843"/>
        <w:jc w:val="both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b/>
          <w:bCs/>
          <w:sz w:val="22"/>
          <w:szCs w:val="22"/>
        </w:rPr>
        <w:t xml:space="preserve">Warunki spłaty - </w:t>
      </w:r>
      <w:r w:rsidRPr="00555BEA">
        <w:rPr>
          <w:rFonts w:ascii="Arial" w:hAnsi="Arial" w:cs="Arial"/>
          <w:sz w:val="22"/>
          <w:szCs w:val="22"/>
        </w:rPr>
        <w:t xml:space="preserve">jednorazowo lub w ratach (preferowana jest spłata kredytu w ratach miesięcznych lub kwartalnych) </w:t>
      </w:r>
    </w:p>
    <w:p w:rsidR="003D5C0F" w:rsidRDefault="003D5C0F" w:rsidP="004F2243">
      <w:pPr>
        <w:pStyle w:val="Tekstpodstawowy21"/>
        <w:tabs>
          <w:tab w:val="clear" w:pos="142"/>
          <w:tab w:val="left" w:pos="-142"/>
        </w:tabs>
        <w:spacing w:before="60"/>
        <w:ind w:left="0" w:firstLine="0"/>
        <w:rPr>
          <w:rFonts w:ascii="Arial" w:hAnsi="Arial" w:cs="Arial"/>
          <w:sz w:val="22"/>
          <w:szCs w:val="22"/>
        </w:rPr>
      </w:pPr>
    </w:p>
    <w:p w:rsidR="003D5C0F" w:rsidRPr="003D5C0F" w:rsidRDefault="003D5C0F" w:rsidP="004F2243">
      <w:pPr>
        <w:pStyle w:val="Tekstpodstawowy21"/>
        <w:tabs>
          <w:tab w:val="clear" w:pos="142"/>
          <w:tab w:val="left" w:pos="-142"/>
        </w:tabs>
        <w:spacing w:before="6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Zalety produktu:</w:t>
      </w:r>
    </w:p>
    <w:p w:rsidR="004F2243" w:rsidRPr="00555BEA" w:rsidRDefault="004F2243" w:rsidP="004F2243">
      <w:pPr>
        <w:pStyle w:val="Tekstpodstawowy21"/>
        <w:tabs>
          <w:tab w:val="clear" w:pos="142"/>
          <w:tab w:val="left" w:pos="-142"/>
        </w:tabs>
        <w:spacing w:before="60"/>
        <w:ind w:left="0" w:firstLine="0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sz w:val="22"/>
          <w:szCs w:val="22"/>
        </w:rPr>
        <w:t>Brak opłat za wcześniejszą spłatę</w:t>
      </w:r>
    </w:p>
    <w:p w:rsidR="004F2243" w:rsidRPr="00555BEA" w:rsidRDefault="004F2243" w:rsidP="004F2243">
      <w:pPr>
        <w:pStyle w:val="Tekstpodstawowy21"/>
        <w:widowControl/>
        <w:tabs>
          <w:tab w:val="clear" w:pos="142"/>
          <w:tab w:val="left" w:pos="786"/>
        </w:tabs>
        <w:spacing w:before="60"/>
        <w:ind w:left="0" w:firstLine="0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sz w:val="22"/>
          <w:szCs w:val="22"/>
        </w:rPr>
        <w:t>Długi okres kredytowania</w:t>
      </w:r>
    </w:p>
    <w:p w:rsidR="004F2243" w:rsidRPr="00555BEA" w:rsidRDefault="004F2243" w:rsidP="004F2243">
      <w:pPr>
        <w:pStyle w:val="Tekstpodstawowy21"/>
        <w:widowControl/>
        <w:tabs>
          <w:tab w:val="clear" w:pos="142"/>
          <w:tab w:val="left" w:pos="786"/>
        </w:tabs>
        <w:spacing w:before="60"/>
        <w:ind w:left="0" w:firstLine="0"/>
        <w:rPr>
          <w:rFonts w:ascii="Arial" w:hAnsi="Arial" w:cs="Arial"/>
          <w:sz w:val="22"/>
          <w:szCs w:val="22"/>
        </w:rPr>
      </w:pPr>
      <w:r w:rsidRPr="00555BEA">
        <w:rPr>
          <w:rFonts w:ascii="Arial" w:hAnsi="Arial" w:cs="Arial"/>
          <w:sz w:val="22"/>
          <w:szCs w:val="22"/>
        </w:rPr>
        <w:t>Możliwość stosowania różnych form zabezpieczeń</w:t>
      </w:r>
    </w:p>
    <w:p w:rsidR="000A123B" w:rsidRDefault="000A123B" w:rsidP="000A123B">
      <w:pPr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</w:p>
    <w:p w:rsidR="000A123B" w:rsidRDefault="000A123B" w:rsidP="000A123B">
      <w:pPr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</w:p>
    <w:p w:rsidR="000C1BE6" w:rsidRDefault="00A959FE" w:rsidP="000A123B">
      <w:pPr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  <w:r>
        <w:rPr>
          <w:rFonts w:eastAsia="Times New Roman" w:cs="Arial"/>
          <w:b/>
          <w:sz w:val="24"/>
          <w:szCs w:val="24"/>
          <w:u w:val="single"/>
          <w:lang w:eastAsia="pl-PL"/>
        </w:rPr>
        <w:t>BANKOWOŚĆ ELEKTRONICZNA:</w:t>
      </w:r>
    </w:p>
    <w:p w:rsidR="000A123B" w:rsidRDefault="000A123B" w:rsidP="000A123B">
      <w:pPr>
        <w:jc w:val="both"/>
        <w:rPr>
          <w:b/>
        </w:rPr>
      </w:pPr>
    </w:p>
    <w:p w:rsidR="00A959FE" w:rsidRDefault="000A123B" w:rsidP="000A123B">
      <w:pPr>
        <w:jc w:val="both"/>
        <w:rPr>
          <w:b/>
        </w:rPr>
      </w:pPr>
      <w:r w:rsidRPr="000A123B">
        <w:rPr>
          <w:b/>
        </w:rPr>
        <w:t>Internetowy Rachunek Korporacyjny:</w:t>
      </w:r>
    </w:p>
    <w:p w:rsidR="00B84567" w:rsidRDefault="00B84567" w:rsidP="00B84567">
      <w:pPr>
        <w:jc w:val="both"/>
      </w:pPr>
      <w:r>
        <w:t>Dostęp do rachunku przez Internet jest prosty i bezpieczny przez całą dobę z dowolnego miejsca na świecie. Jedynym warunkiem korzystania  z usług jest dostęp do komputera klasy PC z przeglądarką WWW.</w:t>
      </w:r>
    </w:p>
    <w:p w:rsidR="00B84567" w:rsidRDefault="00B84567" w:rsidP="00B84567">
      <w:pPr>
        <w:jc w:val="both"/>
      </w:pPr>
      <w:r>
        <w:t xml:space="preserve">Warto nadmienić, iż w budowie systemu </w:t>
      </w:r>
      <w:proofErr w:type="spellStart"/>
      <w:r>
        <w:t>I-BS</w:t>
      </w:r>
      <w:proofErr w:type="spellEnd"/>
      <w:r>
        <w:t xml:space="preserve"> wykorzystano najlepszą wiedzę i technologię zabezpieczającą przed ewentualnymi próbami włamania.</w:t>
      </w:r>
    </w:p>
    <w:p w:rsidR="00573F8A" w:rsidRDefault="007A3D42" w:rsidP="00B84567">
      <w:pPr>
        <w:jc w:val="both"/>
        <w:rPr>
          <w:b/>
        </w:rPr>
      </w:pPr>
      <w:r>
        <w:t xml:space="preserve">Identyfikacja użytkownika odbywa się za pomocą certyfikatu, który potwierdza tożsamość użytkownika po zalogowaniu się na stronie WWW. Certyfikat jest generowany przez Bank i dostarczany w formie pliku: </w:t>
      </w:r>
      <w:proofErr w:type="spellStart"/>
      <w:r>
        <w:t>nrb_certyfikat</w:t>
      </w:r>
      <w:proofErr w:type="spellEnd"/>
      <w:r>
        <w:t>_....p12, instalacja pliku w przeglądarce umożliwi korzystanie z systemu.</w:t>
      </w:r>
    </w:p>
    <w:p w:rsidR="002044BF" w:rsidRDefault="002044BF" w:rsidP="00B84567">
      <w:pPr>
        <w:jc w:val="both"/>
        <w:rPr>
          <w:b/>
        </w:rPr>
      </w:pPr>
      <w:r w:rsidRPr="002044BF">
        <w:rPr>
          <w:b/>
        </w:rPr>
        <w:t>Home Banking:</w:t>
      </w:r>
    </w:p>
    <w:p w:rsidR="009461A4" w:rsidRDefault="009461A4" w:rsidP="009461A4">
      <w:pPr>
        <w:jc w:val="both"/>
      </w:pPr>
      <w:r>
        <w:t>Home Banking umożliwia bezpośrednią komunikację komputerową łączem telefonicznym lub sieciowym pomiędzy klientem a Bankiem, w celu uzyskania określonych informacji lub składania zleceń płatniczych. Użytkownikami tego systemu mogą być osoby fizyczne prowadzące działalność gospodarczą, osoby prawne, a także jednostki organizacyjne nie posiadające osobowości prawnej utworzone zgodnie z przepisami prawa.</w:t>
      </w:r>
    </w:p>
    <w:p w:rsidR="002044BF" w:rsidRDefault="009461A4" w:rsidP="009461A4">
      <w:pPr>
        <w:jc w:val="both"/>
      </w:pPr>
      <w:r>
        <w:t>Warunkiem korzystania z tego systemu jest  posiadanie rachunku bankowego o charakterze bieżącym lub pomocniczym.</w:t>
      </w:r>
    </w:p>
    <w:p w:rsidR="006C4F3D" w:rsidRDefault="006C4F3D" w:rsidP="009461A4">
      <w:pPr>
        <w:jc w:val="both"/>
      </w:pPr>
    </w:p>
    <w:p w:rsidR="006C4F3D" w:rsidRDefault="006C4F3D" w:rsidP="009461A4">
      <w:pPr>
        <w:jc w:val="both"/>
        <w:rPr>
          <w:b/>
          <w:u w:val="single"/>
        </w:rPr>
      </w:pPr>
      <w:r>
        <w:rPr>
          <w:b/>
          <w:u w:val="single"/>
        </w:rPr>
        <w:t>KARTY PŁATNICZE:</w:t>
      </w:r>
    </w:p>
    <w:p w:rsidR="002F40E2" w:rsidRPr="002F40E2" w:rsidRDefault="002F40E2" w:rsidP="002F40E2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F40E2">
        <w:rPr>
          <w:rFonts w:ascii="Arial" w:hAnsi="Arial" w:cs="Arial"/>
          <w:sz w:val="22"/>
          <w:szCs w:val="22"/>
        </w:rPr>
        <w:t xml:space="preserve">Bank Spółdzielczy w </w:t>
      </w:r>
      <w:r w:rsidR="00DF1981">
        <w:rPr>
          <w:rFonts w:ascii="Arial" w:hAnsi="Arial" w:cs="Arial"/>
          <w:sz w:val="22"/>
          <w:szCs w:val="22"/>
        </w:rPr>
        <w:t>Mielcu</w:t>
      </w:r>
      <w:r w:rsidRPr="002F40E2">
        <w:rPr>
          <w:rFonts w:ascii="Arial" w:hAnsi="Arial" w:cs="Arial"/>
          <w:sz w:val="22"/>
          <w:szCs w:val="22"/>
        </w:rPr>
        <w:t xml:space="preserve"> posiada w swej ofercie karty płatnicze </w:t>
      </w:r>
      <w:r w:rsidRPr="002F40E2">
        <w:rPr>
          <w:rStyle w:val="Pogrubienie"/>
          <w:rFonts w:ascii="Arial" w:hAnsi="Arial" w:cs="Arial"/>
          <w:sz w:val="22"/>
          <w:szCs w:val="22"/>
        </w:rPr>
        <w:t>VISA Business</w:t>
      </w:r>
      <w:r w:rsidRPr="002F40E2">
        <w:rPr>
          <w:rFonts w:ascii="Arial" w:hAnsi="Arial" w:cs="Arial"/>
          <w:sz w:val="22"/>
          <w:szCs w:val="22"/>
        </w:rPr>
        <w:t xml:space="preserve"> </w:t>
      </w:r>
      <w:r w:rsidR="00DF1981" w:rsidRPr="00DF1981">
        <w:rPr>
          <w:rFonts w:ascii="Arial" w:hAnsi="Arial" w:cs="Arial"/>
          <w:b/>
          <w:sz w:val="22"/>
          <w:szCs w:val="22"/>
        </w:rPr>
        <w:t>DEBETOWA</w:t>
      </w:r>
      <w:r w:rsidR="00DF1981">
        <w:rPr>
          <w:rFonts w:ascii="Arial" w:hAnsi="Arial" w:cs="Arial"/>
          <w:sz w:val="22"/>
          <w:szCs w:val="22"/>
        </w:rPr>
        <w:t xml:space="preserve"> </w:t>
      </w:r>
      <w:r w:rsidRPr="002F40E2">
        <w:rPr>
          <w:rFonts w:ascii="Arial" w:hAnsi="Arial" w:cs="Arial"/>
          <w:sz w:val="22"/>
          <w:szCs w:val="22"/>
        </w:rPr>
        <w:t>wydawane dla Posiadaczy rachunków bieżących i pomocniczych. Jest ona kartą łączącą zalety karty bankomatowej i nowoczesnej karty płatniczej, którą można posługiwać się na terytorium Rzeczypospolitej Polskiej i poza jej granicami.</w:t>
      </w:r>
    </w:p>
    <w:p w:rsidR="002F40E2" w:rsidRDefault="002F40E2" w:rsidP="002F40E2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2F40E2">
        <w:rPr>
          <w:rFonts w:ascii="Arial" w:hAnsi="Arial" w:cs="Arial"/>
          <w:sz w:val="22"/>
          <w:szCs w:val="22"/>
        </w:rPr>
        <w:lastRenderedPageBreak/>
        <w:t xml:space="preserve">Kartą </w:t>
      </w:r>
      <w:r w:rsidRPr="002F40E2">
        <w:rPr>
          <w:rStyle w:val="Pogrubienie"/>
          <w:rFonts w:ascii="Arial" w:hAnsi="Arial" w:cs="Arial"/>
          <w:sz w:val="22"/>
          <w:szCs w:val="22"/>
        </w:rPr>
        <w:t>VISA Business</w:t>
      </w:r>
      <w:r w:rsidR="009F1E0A">
        <w:rPr>
          <w:rStyle w:val="Pogrubienie"/>
          <w:rFonts w:ascii="Arial" w:hAnsi="Arial" w:cs="Arial"/>
          <w:sz w:val="22"/>
          <w:szCs w:val="22"/>
        </w:rPr>
        <w:t xml:space="preserve"> DEBETOWA</w:t>
      </w:r>
      <w:r w:rsidRPr="002F40E2">
        <w:rPr>
          <w:rFonts w:ascii="Arial" w:hAnsi="Arial" w:cs="Arial"/>
          <w:sz w:val="22"/>
          <w:szCs w:val="22"/>
        </w:rPr>
        <w:t xml:space="preserve"> można dokonywać płatności w wielu punktach usługowo-handlowych, bez prowizji, co powoduje że nie trzeba się martwić o to czy mamy </w:t>
      </w:r>
      <w:r w:rsidR="009F1E0A">
        <w:rPr>
          <w:rFonts w:ascii="Arial" w:hAnsi="Arial" w:cs="Arial"/>
          <w:sz w:val="22"/>
          <w:szCs w:val="22"/>
        </w:rPr>
        <w:br/>
      </w:r>
      <w:r w:rsidRPr="002F40E2">
        <w:rPr>
          <w:rFonts w:ascii="Arial" w:hAnsi="Arial" w:cs="Arial"/>
          <w:sz w:val="22"/>
          <w:szCs w:val="22"/>
        </w:rPr>
        <w:t>w danej chwili pieniądze w portfelu. Państwa pieniądze są bezpieczniejsze, ponieważ ulokowane na rachunku bieżącym czy pomocniczym, nie są narażone na kradzież, a do tego przynoszą zysk w postaci odsetek.</w:t>
      </w:r>
    </w:p>
    <w:p w:rsidR="00995E6E" w:rsidRPr="00995E6E" w:rsidRDefault="00995E6E" w:rsidP="00995E6E">
      <w:pPr>
        <w:rPr>
          <w:rFonts w:eastAsia="Times New Roman" w:cs="Arial"/>
          <w:lang w:eastAsia="pl-PL"/>
        </w:rPr>
      </w:pPr>
      <w:r w:rsidRPr="00995E6E">
        <w:rPr>
          <w:rFonts w:eastAsia="Times New Roman" w:cs="Arial"/>
          <w:lang w:eastAsia="pl-PL"/>
        </w:rPr>
        <w:t>Limity transakcyjne dla kart VBD:</w:t>
      </w:r>
    </w:p>
    <w:p w:rsidR="00995E6E" w:rsidRPr="00995E6E" w:rsidRDefault="00995E6E" w:rsidP="00995E6E">
      <w:pPr>
        <w:rPr>
          <w:rFonts w:eastAsia="Times New Roman" w:cs="Arial"/>
          <w:lang w:eastAsia="pl-PL"/>
        </w:rPr>
      </w:pPr>
      <w:r w:rsidRPr="00995E6E">
        <w:rPr>
          <w:rFonts w:eastAsia="Times New Roman" w:cs="Arial"/>
          <w:lang w:eastAsia="pl-PL"/>
        </w:rPr>
        <w:t>- dzienny maksymalny limit transakcji gotówkowych: 5</w:t>
      </w:r>
      <w:r>
        <w:rPr>
          <w:rFonts w:eastAsia="Times New Roman" w:cs="Arial"/>
          <w:lang w:eastAsia="pl-PL"/>
        </w:rPr>
        <w:t>.</w:t>
      </w:r>
      <w:r w:rsidRPr="00995E6E">
        <w:rPr>
          <w:rFonts w:eastAsia="Times New Roman" w:cs="Arial"/>
          <w:lang w:eastAsia="pl-PL"/>
        </w:rPr>
        <w:t>000,00 zł;</w:t>
      </w:r>
    </w:p>
    <w:p w:rsidR="00995E6E" w:rsidRPr="00995E6E" w:rsidRDefault="00995E6E" w:rsidP="00995E6E">
      <w:pPr>
        <w:rPr>
          <w:rFonts w:eastAsia="Times New Roman" w:cs="Arial"/>
          <w:lang w:eastAsia="pl-PL"/>
        </w:rPr>
      </w:pPr>
      <w:r w:rsidRPr="00995E6E">
        <w:rPr>
          <w:rFonts w:eastAsia="Times New Roman" w:cs="Arial"/>
          <w:lang w:eastAsia="pl-PL"/>
        </w:rPr>
        <w:t>- dzienny maksymalny limit transakcji bezgotówkowych: 50</w:t>
      </w:r>
      <w:r>
        <w:rPr>
          <w:rFonts w:eastAsia="Times New Roman" w:cs="Arial"/>
          <w:lang w:eastAsia="pl-PL"/>
        </w:rPr>
        <w:t>.</w:t>
      </w:r>
      <w:r w:rsidRPr="00995E6E">
        <w:rPr>
          <w:rFonts w:eastAsia="Times New Roman" w:cs="Arial"/>
          <w:lang w:eastAsia="pl-PL"/>
        </w:rPr>
        <w:t>000,00 zł;</w:t>
      </w:r>
    </w:p>
    <w:p w:rsidR="00995E6E" w:rsidRPr="002F40E2" w:rsidRDefault="00995E6E" w:rsidP="002F40E2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653AFC" w:rsidRPr="00653AFC" w:rsidRDefault="00653AFC" w:rsidP="00653AFC">
      <w:pPr>
        <w:pStyle w:val="NormalnyWeb"/>
        <w:rPr>
          <w:rFonts w:ascii="Arial" w:hAnsi="Arial" w:cs="Arial"/>
          <w:sz w:val="22"/>
          <w:szCs w:val="22"/>
        </w:rPr>
      </w:pPr>
      <w:r w:rsidRPr="00653AFC">
        <w:rPr>
          <w:rStyle w:val="Pogrubienie"/>
          <w:rFonts w:ascii="Arial" w:hAnsi="Arial" w:cs="Arial"/>
          <w:color w:val="FF0000"/>
          <w:sz w:val="22"/>
          <w:szCs w:val="22"/>
          <w:u w:val="single"/>
        </w:rPr>
        <w:t>UWAGA!!!</w:t>
      </w:r>
    </w:p>
    <w:p w:rsidR="00653AFC" w:rsidRPr="00653AFC" w:rsidRDefault="00653AFC" w:rsidP="00653AF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AFC">
        <w:rPr>
          <w:rFonts w:ascii="Arial" w:hAnsi="Arial" w:cs="Arial"/>
          <w:color w:val="FF0000"/>
          <w:sz w:val="22"/>
          <w:szCs w:val="22"/>
        </w:rPr>
        <w:t>Utratę karty płatniczej Posiadacz karty zobowiązany jest niezwłocznie zgłosić w jednej z podanych niżej jednostek:</w:t>
      </w:r>
    </w:p>
    <w:p w:rsidR="00653AFC" w:rsidRPr="00653AFC" w:rsidRDefault="00653AFC" w:rsidP="00653AF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AFC">
        <w:rPr>
          <w:rFonts w:ascii="Arial" w:hAnsi="Arial" w:cs="Arial"/>
          <w:color w:val="FF0000"/>
          <w:sz w:val="22"/>
          <w:szCs w:val="22"/>
        </w:rPr>
        <w:t xml:space="preserve">1)    telefonicznie w </w:t>
      </w:r>
      <w:proofErr w:type="spellStart"/>
      <w:r w:rsidRPr="00653AFC">
        <w:rPr>
          <w:rFonts w:ascii="Arial" w:hAnsi="Arial" w:cs="Arial"/>
          <w:color w:val="FF0000"/>
          <w:sz w:val="22"/>
          <w:szCs w:val="22"/>
        </w:rPr>
        <w:t>Contact</w:t>
      </w:r>
      <w:proofErr w:type="spellEnd"/>
      <w:r w:rsidRPr="00653AFC">
        <w:rPr>
          <w:rFonts w:ascii="Arial" w:hAnsi="Arial" w:cs="Arial"/>
          <w:color w:val="FF0000"/>
          <w:sz w:val="22"/>
          <w:szCs w:val="22"/>
        </w:rPr>
        <w:t xml:space="preserve"> Center Banku BPS S.A. (tel. +48 22 539 50 </w:t>
      </w:r>
      <w:proofErr w:type="spellStart"/>
      <w:r w:rsidRPr="00653AFC">
        <w:rPr>
          <w:rFonts w:ascii="Arial" w:hAnsi="Arial" w:cs="Arial"/>
          <w:color w:val="FF0000"/>
          <w:sz w:val="22"/>
          <w:szCs w:val="22"/>
        </w:rPr>
        <w:t>50</w:t>
      </w:r>
      <w:proofErr w:type="spellEnd"/>
      <w:r w:rsidRPr="00653AFC">
        <w:rPr>
          <w:rFonts w:ascii="Arial" w:hAnsi="Arial" w:cs="Arial"/>
          <w:color w:val="FF0000"/>
          <w:sz w:val="22"/>
          <w:szCs w:val="22"/>
        </w:rPr>
        <w:t>);</w:t>
      </w:r>
    </w:p>
    <w:p w:rsidR="00653AFC" w:rsidRPr="00653AFC" w:rsidRDefault="00653AFC" w:rsidP="00653AF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AFC">
        <w:rPr>
          <w:rFonts w:ascii="Arial" w:hAnsi="Arial" w:cs="Arial"/>
          <w:color w:val="FF0000"/>
          <w:sz w:val="22"/>
          <w:szCs w:val="22"/>
        </w:rPr>
        <w:t>2)    telefonicznie w Centrum Kart Kredyt Banku (tel.: +48 22 634 50 00 czynny całą dobę);</w:t>
      </w:r>
    </w:p>
    <w:p w:rsidR="00653AFC" w:rsidRPr="00653AFC" w:rsidRDefault="00653AFC" w:rsidP="00653AF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AFC">
        <w:rPr>
          <w:rFonts w:ascii="Arial" w:hAnsi="Arial" w:cs="Arial"/>
          <w:color w:val="FF0000"/>
          <w:sz w:val="22"/>
          <w:szCs w:val="22"/>
        </w:rPr>
        <w:t>3)    telefonicznie w dowolnym centrum VISA;</w:t>
      </w:r>
    </w:p>
    <w:p w:rsidR="00653AFC" w:rsidRPr="00653AFC" w:rsidRDefault="00653AFC" w:rsidP="00653AF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AFC">
        <w:rPr>
          <w:rFonts w:ascii="Arial" w:hAnsi="Arial" w:cs="Arial"/>
          <w:color w:val="FF0000"/>
          <w:sz w:val="22"/>
          <w:szCs w:val="22"/>
        </w:rPr>
        <w:t>4)    osobiście w Banku;</w:t>
      </w:r>
    </w:p>
    <w:p w:rsidR="00653AFC" w:rsidRDefault="00653AFC" w:rsidP="00653AFC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653AFC">
        <w:rPr>
          <w:rFonts w:ascii="Arial" w:hAnsi="Arial" w:cs="Arial"/>
          <w:color w:val="FF0000"/>
          <w:sz w:val="22"/>
          <w:szCs w:val="22"/>
        </w:rPr>
        <w:t>5)    osobiście w innym banku uczestniczącym w systemie VISA.</w:t>
      </w:r>
    </w:p>
    <w:p w:rsidR="005968EB" w:rsidRDefault="005968EB" w:rsidP="00653AFC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5968EB" w:rsidRPr="005968EB" w:rsidRDefault="005968EB" w:rsidP="005968EB">
      <w:pPr>
        <w:pStyle w:val="NormalnyWeb"/>
        <w:jc w:val="both"/>
        <w:rPr>
          <w:rFonts w:ascii="Arial" w:hAnsi="Arial" w:cs="Arial"/>
          <w:color w:val="FF0000"/>
          <w:sz w:val="22"/>
          <w:szCs w:val="22"/>
        </w:rPr>
      </w:pPr>
      <w:r w:rsidRPr="005968EB">
        <w:rPr>
          <w:rFonts w:ascii="Arial" w:hAnsi="Arial" w:cs="Arial"/>
          <w:color w:val="FF0000"/>
          <w:sz w:val="22"/>
          <w:szCs w:val="22"/>
        </w:rPr>
        <w:t>Karty VISA wydane przez Bank Polskiej Spółdzielczości S.A. i zrzeszone Banki Spółdzielcze, można zastrzec pod numerem telefonu:</w:t>
      </w:r>
      <w:r w:rsidRPr="005968EB">
        <w:rPr>
          <w:rFonts w:ascii="Arial" w:hAnsi="Arial" w:cs="Arial"/>
          <w:b/>
          <w:color w:val="FF0000"/>
          <w:sz w:val="28"/>
          <w:szCs w:val="28"/>
        </w:rPr>
        <w:t xml:space="preserve"> (61) 856 52 78</w:t>
      </w:r>
    </w:p>
    <w:p w:rsidR="000E7C9A" w:rsidRDefault="000E7C9A" w:rsidP="000E7C9A">
      <w:pPr>
        <w:pStyle w:val="NormalnyWeb"/>
      </w:pPr>
      <w:r>
        <w:rPr>
          <w:rStyle w:val="Pogrubienie"/>
        </w:rPr>
        <w:t>USŁUGI DODATKOWE DO KART PŁATNICZYCH</w:t>
      </w:r>
    </w:p>
    <w:p w:rsidR="000E7C9A" w:rsidRPr="00E4511F" w:rsidRDefault="000E7C9A" w:rsidP="00E4511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4511F">
        <w:rPr>
          <w:rFonts w:ascii="Arial" w:hAnsi="Arial" w:cs="Arial"/>
          <w:sz w:val="22"/>
          <w:szCs w:val="22"/>
        </w:rPr>
        <w:t xml:space="preserve">Karta płatnicza VISA BUSINESS </w:t>
      </w:r>
      <w:r w:rsidR="00907C59">
        <w:rPr>
          <w:rFonts w:ascii="Arial" w:hAnsi="Arial" w:cs="Arial"/>
          <w:sz w:val="22"/>
          <w:szCs w:val="22"/>
        </w:rPr>
        <w:t>DEBETOWA</w:t>
      </w:r>
      <w:r w:rsidRPr="00E4511F">
        <w:rPr>
          <w:rFonts w:ascii="Arial" w:hAnsi="Arial" w:cs="Arial"/>
          <w:sz w:val="22"/>
          <w:szCs w:val="22"/>
        </w:rPr>
        <w:t xml:space="preserve"> umożliwia dokonywanie transakcji gotówkowych w ramach usługi </w:t>
      </w:r>
      <w:r w:rsidRPr="00E4511F">
        <w:rPr>
          <w:rFonts w:ascii="Arial" w:hAnsi="Arial" w:cs="Arial"/>
          <w:color w:val="FF0000"/>
          <w:sz w:val="22"/>
          <w:szCs w:val="22"/>
        </w:rPr>
        <w:t>CASH BACK</w:t>
      </w:r>
    </w:p>
    <w:p w:rsidR="000E7C9A" w:rsidRPr="00E4511F" w:rsidRDefault="000E7C9A" w:rsidP="00E4511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4511F">
        <w:rPr>
          <w:rFonts w:ascii="Arial" w:hAnsi="Arial" w:cs="Arial"/>
          <w:sz w:val="22"/>
          <w:szCs w:val="22"/>
        </w:rPr>
        <w:t xml:space="preserve">Usługa ta daje możliwość wypłaty gotówki podczas dokonywania płatności bezgotówkowych w punktach handlowo-usługowych (np. sklepie, stacji benzynowej) na terenie kraju oznaczonych znakiem </w:t>
      </w:r>
      <w:proofErr w:type="spellStart"/>
      <w:r w:rsidRPr="00E4511F">
        <w:rPr>
          <w:rFonts w:ascii="Arial" w:hAnsi="Arial" w:cs="Arial"/>
          <w:sz w:val="22"/>
          <w:szCs w:val="22"/>
        </w:rPr>
        <w:t>"cas</w:t>
      </w:r>
      <w:proofErr w:type="spellEnd"/>
      <w:r w:rsidRPr="00E4511F">
        <w:rPr>
          <w:rFonts w:ascii="Arial" w:hAnsi="Arial" w:cs="Arial"/>
          <w:sz w:val="22"/>
          <w:szCs w:val="22"/>
        </w:rPr>
        <w:t>h back" - z uwzględnieniem wysokości dziennego limitu wypłat gotówki.</w:t>
      </w:r>
    </w:p>
    <w:p w:rsidR="000E7C9A" w:rsidRPr="00E4511F" w:rsidRDefault="000E7C9A" w:rsidP="00E4511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4511F">
        <w:rPr>
          <w:rFonts w:ascii="Arial" w:hAnsi="Arial" w:cs="Arial"/>
          <w:sz w:val="22"/>
          <w:szCs w:val="22"/>
        </w:rPr>
        <w:t xml:space="preserve">Maksymalna kwota pojedynczej wypłaty gotówki w ramach usługi </w:t>
      </w:r>
      <w:proofErr w:type="spellStart"/>
      <w:r w:rsidRPr="00E4511F">
        <w:rPr>
          <w:rFonts w:ascii="Arial" w:hAnsi="Arial" w:cs="Arial"/>
          <w:sz w:val="22"/>
          <w:szCs w:val="22"/>
        </w:rPr>
        <w:t>"cas</w:t>
      </w:r>
      <w:proofErr w:type="spellEnd"/>
      <w:r w:rsidRPr="00E4511F">
        <w:rPr>
          <w:rFonts w:ascii="Arial" w:hAnsi="Arial" w:cs="Arial"/>
          <w:sz w:val="22"/>
          <w:szCs w:val="22"/>
        </w:rPr>
        <w:t xml:space="preserve">h back" wynosi </w:t>
      </w:r>
      <w:r w:rsidRPr="00E4511F">
        <w:rPr>
          <w:rFonts w:ascii="Arial" w:hAnsi="Arial" w:cs="Arial"/>
          <w:b/>
          <w:bCs/>
          <w:sz w:val="22"/>
          <w:szCs w:val="22"/>
        </w:rPr>
        <w:t>200 zł.</w:t>
      </w:r>
    </w:p>
    <w:p w:rsidR="000E7C9A" w:rsidRPr="00E4511F" w:rsidRDefault="000E7C9A" w:rsidP="00E4511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4511F">
        <w:rPr>
          <w:rFonts w:ascii="Arial" w:hAnsi="Arial" w:cs="Arial"/>
          <w:sz w:val="22"/>
          <w:szCs w:val="22"/>
        </w:rPr>
        <w:t xml:space="preserve">Aktualna lista bankomatów oraz lista punktów oferujących usługę "Visa </w:t>
      </w:r>
      <w:proofErr w:type="spellStart"/>
      <w:r w:rsidRPr="00E4511F">
        <w:rPr>
          <w:rFonts w:ascii="Arial" w:hAnsi="Arial" w:cs="Arial"/>
          <w:sz w:val="22"/>
          <w:szCs w:val="22"/>
        </w:rPr>
        <w:t>cash</w:t>
      </w:r>
      <w:proofErr w:type="spellEnd"/>
      <w:r w:rsidRPr="00E4511F">
        <w:rPr>
          <w:rFonts w:ascii="Arial" w:hAnsi="Arial" w:cs="Arial"/>
          <w:sz w:val="22"/>
          <w:szCs w:val="22"/>
        </w:rPr>
        <w:t xml:space="preserve"> back" dostępna jest na stronie </w:t>
      </w:r>
      <w:hyperlink r:id="rId5" w:history="1">
        <w:r w:rsidRPr="00E4511F">
          <w:rPr>
            <w:rStyle w:val="Hipercze"/>
            <w:rFonts w:ascii="Arial" w:hAnsi="Arial" w:cs="Arial"/>
            <w:sz w:val="22"/>
            <w:szCs w:val="22"/>
          </w:rPr>
          <w:t>www.bankbps.pl</w:t>
        </w:r>
      </w:hyperlink>
      <w:r w:rsidRPr="00E4511F">
        <w:rPr>
          <w:rFonts w:ascii="Arial" w:hAnsi="Arial" w:cs="Arial"/>
          <w:sz w:val="22"/>
          <w:szCs w:val="22"/>
        </w:rPr>
        <w:t xml:space="preserve"> lub </w:t>
      </w:r>
      <w:hyperlink r:id="rId6" w:history="1">
        <w:r w:rsidRPr="00E4511F">
          <w:rPr>
            <w:rStyle w:val="Hipercze"/>
            <w:rFonts w:ascii="Arial" w:hAnsi="Arial" w:cs="Arial"/>
            <w:sz w:val="22"/>
            <w:szCs w:val="22"/>
          </w:rPr>
          <w:t>www.visa.pl</w:t>
        </w:r>
      </w:hyperlink>
    </w:p>
    <w:p w:rsidR="000E7C9A" w:rsidRPr="00E4511F" w:rsidRDefault="000E7C9A" w:rsidP="00E4511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4511F">
        <w:rPr>
          <w:rFonts w:ascii="Arial" w:hAnsi="Arial" w:cs="Arial"/>
          <w:sz w:val="22"/>
          <w:szCs w:val="22"/>
        </w:rPr>
        <w:t xml:space="preserve">Wiele bankomatów, w tym bankomaty należące do BS </w:t>
      </w:r>
      <w:r w:rsidR="005968EB">
        <w:rPr>
          <w:rFonts w:ascii="Arial" w:hAnsi="Arial" w:cs="Arial"/>
          <w:sz w:val="22"/>
          <w:szCs w:val="22"/>
        </w:rPr>
        <w:t>Mielec</w:t>
      </w:r>
      <w:r w:rsidRPr="00E4511F">
        <w:rPr>
          <w:rFonts w:ascii="Arial" w:hAnsi="Arial" w:cs="Arial"/>
          <w:sz w:val="22"/>
          <w:szCs w:val="22"/>
        </w:rPr>
        <w:t xml:space="preserve">, pozwalają na bezprowizyjne doładowanie telefonów komórkowych sieci: Sami Swoi, Orange/Pop, Plus, Era Tak </w:t>
      </w:r>
      <w:proofErr w:type="spellStart"/>
      <w:r w:rsidRPr="00E4511F">
        <w:rPr>
          <w:rFonts w:ascii="Arial" w:hAnsi="Arial" w:cs="Arial"/>
          <w:sz w:val="22"/>
          <w:szCs w:val="22"/>
        </w:rPr>
        <w:t>Tak</w:t>
      </w:r>
      <w:proofErr w:type="spellEnd"/>
      <w:r w:rsidRPr="00E4511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4511F">
        <w:rPr>
          <w:rFonts w:ascii="Arial" w:hAnsi="Arial" w:cs="Arial"/>
          <w:sz w:val="22"/>
          <w:szCs w:val="22"/>
        </w:rPr>
        <w:t>Heyah</w:t>
      </w:r>
      <w:proofErr w:type="spellEnd"/>
      <w:r w:rsidRPr="00E4511F">
        <w:rPr>
          <w:rFonts w:ascii="Arial" w:hAnsi="Arial" w:cs="Arial"/>
          <w:sz w:val="22"/>
          <w:szCs w:val="22"/>
        </w:rPr>
        <w:t>.</w:t>
      </w:r>
    </w:p>
    <w:sectPr w:rsidR="000E7C9A" w:rsidRPr="00E4511F" w:rsidSect="00A42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3A27"/>
    <w:multiLevelType w:val="multilevel"/>
    <w:tmpl w:val="3476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C2E60"/>
    <w:multiLevelType w:val="multilevel"/>
    <w:tmpl w:val="8678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D63F1"/>
    <w:multiLevelType w:val="multilevel"/>
    <w:tmpl w:val="9B7E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E4EC8"/>
    <w:multiLevelType w:val="hybridMultilevel"/>
    <w:tmpl w:val="9D1489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B26C8"/>
    <w:multiLevelType w:val="multilevel"/>
    <w:tmpl w:val="1FC4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11518F"/>
    <w:multiLevelType w:val="hybridMultilevel"/>
    <w:tmpl w:val="55561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07A6E"/>
    <w:multiLevelType w:val="multilevel"/>
    <w:tmpl w:val="253A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3267F"/>
    <w:multiLevelType w:val="multilevel"/>
    <w:tmpl w:val="16BC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12B9B"/>
    <w:multiLevelType w:val="hybridMultilevel"/>
    <w:tmpl w:val="E5FEF420"/>
    <w:lvl w:ilvl="0" w:tplc="41A6CF8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>
    <w:applyBreakingRules/>
  </w:compat>
  <w:rsids>
    <w:rsidRoot w:val="006F4561"/>
    <w:rsid w:val="000A01DB"/>
    <w:rsid w:val="000A123B"/>
    <w:rsid w:val="000A39F1"/>
    <w:rsid w:val="000A3F5D"/>
    <w:rsid w:val="000C1BE6"/>
    <w:rsid w:val="000E7C9A"/>
    <w:rsid w:val="00103E55"/>
    <w:rsid w:val="001262F4"/>
    <w:rsid w:val="00164E6C"/>
    <w:rsid w:val="00185C39"/>
    <w:rsid w:val="00185E17"/>
    <w:rsid w:val="001919FF"/>
    <w:rsid w:val="00196106"/>
    <w:rsid w:val="002044BF"/>
    <w:rsid w:val="00204679"/>
    <w:rsid w:val="00231877"/>
    <w:rsid w:val="00270E9C"/>
    <w:rsid w:val="002C32A1"/>
    <w:rsid w:val="002C625F"/>
    <w:rsid w:val="002F40E2"/>
    <w:rsid w:val="00365E51"/>
    <w:rsid w:val="0039712B"/>
    <w:rsid w:val="003D5C0F"/>
    <w:rsid w:val="00404CF1"/>
    <w:rsid w:val="00413E8E"/>
    <w:rsid w:val="004F1A51"/>
    <w:rsid w:val="004F2243"/>
    <w:rsid w:val="005159FA"/>
    <w:rsid w:val="005670D6"/>
    <w:rsid w:val="00573F8A"/>
    <w:rsid w:val="00584790"/>
    <w:rsid w:val="005968EB"/>
    <w:rsid w:val="005D0EB2"/>
    <w:rsid w:val="00631F3C"/>
    <w:rsid w:val="006401C3"/>
    <w:rsid w:val="00653AFC"/>
    <w:rsid w:val="00671CE7"/>
    <w:rsid w:val="006A3F31"/>
    <w:rsid w:val="006B4759"/>
    <w:rsid w:val="006C4F3D"/>
    <w:rsid w:val="006F4561"/>
    <w:rsid w:val="0072150D"/>
    <w:rsid w:val="0076571E"/>
    <w:rsid w:val="007A3D42"/>
    <w:rsid w:val="007D6713"/>
    <w:rsid w:val="00880420"/>
    <w:rsid w:val="00881971"/>
    <w:rsid w:val="0089724C"/>
    <w:rsid w:val="008B165A"/>
    <w:rsid w:val="008E4546"/>
    <w:rsid w:val="00907C59"/>
    <w:rsid w:val="00936140"/>
    <w:rsid w:val="009461A4"/>
    <w:rsid w:val="00947BB9"/>
    <w:rsid w:val="00986499"/>
    <w:rsid w:val="00995E6E"/>
    <w:rsid w:val="009F1E0A"/>
    <w:rsid w:val="00A428E7"/>
    <w:rsid w:val="00A959FE"/>
    <w:rsid w:val="00AA06D5"/>
    <w:rsid w:val="00AE0483"/>
    <w:rsid w:val="00AE7B6F"/>
    <w:rsid w:val="00AF4B88"/>
    <w:rsid w:val="00B84567"/>
    <w:rsid w:val="00BA38A2"/>
    <w:rsid w:val="00BA59F7"/>
    <w:rsid w:val="00BF1826"/>
    <w:rsid w:val="00C11A3C"/>
    <w:rsid w:val="00CA2DAE"/>
    <w:rsid w:val="00DD658E"/>
    <w:rsid w:val="00DE1F25"/>
    <w:rsid w:val="00DF1981"/>
    <w:rsid w:val="00E4511F"/>
    <w:rsid w:val="00E96602"/>
    <w:rsid w:val="00EB00F1"/>
    <w:rsid w:val="00F7280D"/>
    <w:rsid w:val="00FF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CE7"/>
    <w:pPr>
      <w:spacing w:after="0" w:line="240" w:lineRule="auto"/>
    </w:pPr>
    <w:rPr>
      <w:rFonts w:ascii="Arial" w:hAnsi="Arial"/>
    </w:rPr>
  </w:style>
  <w:style w:type="paragraph" w:styleId="Nagwek1">
    <w:name w:val="heading 1"/>
    <w:basedOn w:val="Normalny"/>
    <w:link w:val="Nagwek1Znak"/>
    <w:uiPriority w:val="9"/>
    <w:qFormat/>
    <w:rsid w:val="008B16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62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62F4"/>
    <w:rPr>
      <w:b/>
      <w:bCs/>
    </w:rPr>
  </w:style>
  <w:style w:type="paragraph" w:styleId="Tekstpodstawowy">
    <w:name w:val="Body Text"/>
    <w:basedOn w:val="Normalny"/>
    <w:link w:val="TekstpodstawowyZnak"/>
    <w:semiHidden/>
    <w:rsid w:val="004F2243"/>
    <w:pPr>
      <w:widowControl w:val="0"/>
      <w:suppressAutoHyphens/>
      <w:spacing w:after="120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243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4F2243"/>
    <w:pPr>
      <w:widowControl w:val="0"/>
      <w:tabs>
        <w:tab w:val="left" w:pos="142"/>
      </w:tabs>
      <w:suppressAutoHyphens/>
      <w:spacing w:line="240" w:lineRule="atLeast"/>
      <w:ind w:left="567" w:hanging="567"/>
      <w:jc w:val="both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16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E7C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9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5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3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a.pl/" TargetMode="External"/><Relationship Id="rId5" Type="http://schemas.openxmlformats.org/officeDocument/2006/relationships/hyperlink" Target="http://www.bankbp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cp:lastPrinted>2011-06-20T07:39:00Z</cp:lastPrinted>
  <dcterms:created xsi:type="dcterms:W3CDTF">2013-03-11T07:25:00Z</dcterms:created>
  <dcterms:modified xsi:type="dcterms:W3CDTF">2013-03-11T07:25:00Z</dcterms:modified>
</cp:coreProperties>
</file>